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e74b5"/>
          <w:sz w:val="48"/>
          <w:szCs w:val="48"/>
          <w:u w:val="single" w:color="2e74b5"/>
          <w14:textFill>
            <w14:solidFill>
              <w14:srgbClr w14:val="2E74B5"/>
            </w14:solidFill>
          </w14:textFill>
        </w:rPr>
      </w:pPr>
      <w:r>
        <w:rPr>
          <w:rFonts w:ascii="Times New Roman" w:hAnsi="Times New Roman"/>
          <w:b w:val="1"/>
          <w:bCs w:val="1"/>
          <w:sz w:val="48"/>
          <w:szCs w:val="4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633412</wp:posOffset>
            </wp:positionH>
            <wp:positionV relativeFrom="line">
              <wp:posOffset>600075</wp:posOffset>
            </wp:positionV>
            <wp:extent cx="6505575" cy="2790825"/>
            <wp:effectExtent l="0" t="0" r="0" b="0"/>
            <wp:wrapSquare wrapText="bothSides" distL="57150" distR="57150" distT="57150" distB="57150"/>
            <wp:docPr id="1073741825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243" r="5200" b="23302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790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outline w:val="0"/>
          <w:color w:val="2e74b5"/>
          <w:sz w:val="48"/>
          <w:szCs w:val="48"/>
          <w:u w:val="single" w:color="2e74b5"/>
          <w:rtl w:val="0"/>
          <w14:textFill>
            <w14:solidFill>
              <w14:srgbClr w14:val="2E74B5"/>
            </w14:solidFill>
          </w14:textFill>
        </w:rPr>
        <w:t xml:space="preserve">7 DAYS </w:t>
      </w:r>
      <w:r>
        <w:rPr>
          <w:rFonts w:ascii="Times New Roman" w:hAnsi="Times New Roman" w:hint="default"/>
          <w:b w:val="1"/>
          <w:bCs w:val="1"/>
          <w:outline w:val="0"/>
          <w:color w:val="2e74b5"/>
          <w:sz w:val="48"/>
          <w:szCs w:val="48"/>
          <w:u w:val="single" w:color="2e74b5"/>
          <w:rtl w:val="0"/>
          <w:lang w:val="en-US"/>
          <w14:textFill>
            <w14:solidFill>
              <w14:srgbClr w14:val="2E74B5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2e74b5"/>
          <w:sz w:val="48"/>
          <w:szCs w:val="48"/>
          <w:u w:val="single" w:color="2e74b5"/>
          <w:rtl w:val="0"/>
          <w:lang w:val="de-DE"/>
          <w14:textFill>
            <w14:solidFill>
              <w14:srgbClr w14:val="2E74B5"/>
            </w14:solidFill>
          </w14:textFill>
        </w:rPr>
        <w:t>ELEGANT EAST CANADA (Van Tour)</w:t>
      </w:r>
    </w:p>
    <w:p>
      <w:pPr>
        <w:pStyle w:val="Body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2e74b5"/>
          <w:sz w:val="48"/>
          <w:szCs w:val="48"/>
          <w:u w:val="single" w:color="2e74b5"/>
          <w14:textFill>
            <w14:solidFill>
              <w14:srgbClr w14:val="2E74B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14:textFill>
            <w14:solidFill>
              <w14:srgbClr w14:val="C00000"/>
            </w14:solidFill>
          </w14:textFill>
        </w:rPr>
        <w:t xml:space="preserve">Day 01 </w:t>
      </w:r>
      <w:r>
        <w:rPr>
          <w:rFonts w:ascii="Times New Roman" w:hAnsi="Times New Roman" w:hint="default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–</w:t>
      </w: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it-IT"/>
          <w14:textFill>
            <w14:solidFill>
              <w14:srgbClr w14:val="C00000"/>
            </w14:solidFill>
          </w14:textFill>
        </w:rPr>
        <w:t>Arrive in Toronto</w:t>
      </w:r>
    </w:p>
    <w:p>
      <w:pPr>
        <w:pStyle w:val="No Spacing"/>
        <w:jc w:val="both"/>
      </w:pPr>
      <w:r>
        <w:rPr>
          <w:rtl w:val="0"/>
          <w:lang w:val="en-US"/>
        </w:rPr>
        <w:t>Welcome to Toronto! A fabulous waterfront city lying on the north shore of Lake Ontario, Toronto is Canada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largest and most cosmopolitan city. Evening proceed for a City Tour of Toronto, where you will explore the </w:t>
      </w:r>
      <w:r>
        <w:rPr>
          <w:rStyle w:val="Strong"/>
          <w:rtl w:val="0"/>
          <w:lang w:val="en-US"/>
        </w:rPr>
        <w:t>Hockey Hall of Fame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CN Tower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Rogers Centre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Air Canada Centre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Olympic Spirit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Toronto's Harborfront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St. Lawrence Market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the Entertainment District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Casa Loma</w:t>
      </w:r>
      <w:r>
        <w:rPr>
          <w:rtl w:val="0"/>
          <w:lang w:val="en-US"/>
        </w:rPr>
        <w:t xml:space="preserve">, the </w:t>
      </w:r>
      <w:r>
        <w:rPr>
          <w:rStyle w:val="Strong"/>
          <w:rtl w:val="0"/>
          <w:lang w:val="en-US"/>
        </w:rPr>
        <w:t>Royal Ontario Museum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Bata Shoe Museum</w:t>
      </w:r>
      <w:r>
        <w:rPr>
          <w:rtl w:val="0"/>
          <w:lang w:val="en-US"/>
        </w:rPr>
        <w:t xml:space="preserve">, and </w:t>
      </w:r>
      <w:r>
        <w:rPr>
          <w:rStyle w:val="Strong"/>
          <w:rtl w:val="0"/>
          <w:lang w:val="en-US"/>
        </w:rPr>
        <w:t>Eaton Centre</w:t>
      </w:r>
      <w:r>
        <w:rPr>
          <w:rtl w:val="0"/>
          <w:lang w:val="en-US"/>
        </w:rPr>
        <w:t xml:space="preserve">.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Day 02 - Toronto - Niagara</w:t>
      </w:r>
    </w:p>
    <w:p>
      <w:pPr>
        <w:pStyle w:val="No Spacing"/>
        <w:jc w:val="both"/>
        <w:rPr>
          <w:rStyle w:val="Strong"/>
        </w:rPr>
      </w:pPr>
      <w:r>
        <w:rPr>
          <w:rtl w:val="0"/>
          <w:lang w:val="en-US"/>
        </w:rPr>
        <w:t>Arrive in Niagara. After breakfast, today you will proceed towards Canada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greatest Natural Wonder, Niagara Falls. You will visit </w:t>
      </w:r>
      <w:r>
        <w:rPr>
          <w:rStyle w:val="Strong"/>
          <w:rtl w:val="0"/>
          <w:lang w:val="en-US"/>
        </w:rPr>
        <w:t>Horseshoe Falls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Table Rock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floral clock</w:t>
      </w:r>
      <w:r>
        <w:rPr>
          <w:rtl w:val="0"/>
          <w:lang w:val="en-US"/>
        </w:rPr>
        <w:t xml:space="preserve">, </w:t>
      </w:r>
      <w:r>
        <w:rPr>
          <w:rStyle w:val="Strong"/>
          <w:rtl w:val="0"/>
          <w:lang w:val="en-US"/>
        </w:rPr>
        <w:t>Clifton Hill</w:t>
      </w:r>
      <w:r>
        <w:rPr>
          <w:rtl w:val="0"/>
          <w:lang w:val="en-US"/>
        </w:rPr>
        <w:t xml:space="preserve"> and </w:t>
      </w:r>
      <w:r>
        <w:rPr>
          <w:rStyle w:val="Strong"/>
          <w:rtl w:val="0"/>
          <w:lang w:val="en-US"/>
        </w:rPr>
        <w:t>Niagara on the Lake</w:t>
      </w:r>
      <w:r>
        <w:rPr>
          <w:rtl w:val="0"/>
          <w:lang w:val="en-US"/>
        </w:rPr>
        <w:t xml:space="preserve">. You will ride the famous </w:t>
      </w:r>
      <w:r>
        <w:rPr>
          <w:rtl w:val="0"/>
          <w:lang w:val="en-US"/>
        </w:rPr>
        <w:t>“</w:t>
      </w:r>
      <w:r>
        <w:rPr>
          <w:rStyle w:val="Strong"/>
          <w:rtl w:val="0"/>
          <w:lang w:val="en-US"/>
        </w:rPr>
        <w:t>Maid of the Mist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which takes us close to the thundering Falls and around the American Falls (seasonal) Later Enjoy the Journey Behind the falls. Later, we will proceed back to Toronto. </w:t>
      </w:r>
      <w:r>
        <w:rPr>
          <w:rStyle w:val="Strong"/>
          <w:rtl w:val="0"/>
          <w:lang w:val="en-US"/>
        </w:rPr>
        <w:t>(Meals: B)</w:t>
      </w:r>
    </w:p>
    <w:p>
      <w:pPr>
        <w:pStyle w:val="No Spacing"/>
        <w:rPr>
          <w:b w:val="1"/>
          <w:bCs w:val="1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 xml:space="preserve">Day 03 - Niagara - Kingston - Ottawa </w:t>
      </w:r>
    </w:p>
    <w:p>
      <w:pPr>
        <w:pStyle w:val="No Spacing"/>
        <w:jc w:val="both"/>
        <w:rPr>
          <w:rStyle w:val="Strong"/>
        </w:rPr>
      </w:pPr>
      <w:r>
        <w:rPr>
          <w:rtl w:val="0"/>
          <w:lang w:val="en-US"/>
        </w:rPr>
        <w:t xml:space="preserve">After breakfast today, we will be leaving for Kingston. On reaching Kingston, we will do the 1000 Island Cruise. Later, proceed for Montreal. </w:t>
      </w:r>
      <w:r>
        <w:rPr>
          <w:rStyle w:val="Strong"/>
          <w:rtl w:val="0"/>
          <w:lang w:val="en-US"/>
        </w:rPr>
        <w:t>(Meals: B)</w:t>
      </w:r>
    </w:p>
    <w:p>
      <w:pPr>
        <w:pStyle w:val="No Spacing"/>
        <w:jc w:val="both"/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Day 04 - Ottawa - City Tour - Montreal</w:t>
      </w:r>
    </w:p>
    <w:p>
      <w:pPr>
        <w:pStyle w:val="No Spacing"/>
        <w:jc w:val="both"/>
        <w:rPr>
          <w:rStyle w:val="Strong"/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After breakfast,</w:t>
      </w:r>
      <w:r>
        <w:rPr>
          <w:rtl w:val="0"/>
          <w:lang w:val="en-US"/>
        </w:rPr>
        <w:t xml:space="preserve"> proceed for a guided city tour, including the </w:t>
      </w:r>
      <w:r>
        <w:rPr>
          <w:rStyle w:val="Strong"/>
          <w:rtl w:val="0"/>
          <w:lang w:val="en-US"/>
        </w:rPr>
        <w:t xml:space="preserve">Parliament Building, Supreme Court of Canada, National Arts Center, Rideau Canal, </w:t>
      </w:r>
      <w:r>
        <w:rPr>
          <w:b w:val="1"/>
          <w:bCs w:val="1"/>
          <w:sz w:val="24"/>
          <w:szCs w:val="24"/>
          <w:rtl w:val="0"/>
          <w:lang w:val="en-US"/>
        </w:rPr>
        <w:t xml:space="preserve">Ottawa City Hall, </w:t>
      </w:r>
      <w:r>
        <w:rPr>
          <w:rStyle w:val="Strong"/>
          <w:rtl w:val="0"/>
          <w:lang w:val="en-US"/>
        </w:rPr>
        <w:t>Rockcliffe Lookout, Ows Lake, Ornamental Gardens, Chinatown &amp; Little Italy, and Farmer</w:t>
      </w:r>
      <w:r>
        <w:rPr>
          <w:rStyle w:val="Strong"/>
          <w:rtl w:val="0"/>
          <w:lang w:val="en-US"/>
        </w:rPr>
        <w:t>’</w:t>
      </w:r>
      <w:r>
        <w:rPr>
          <w:rStyle w:val="Strong"/>
          <w:rtl w:val="0"/>
          <w:lang w:val="en-US"/>
        </w:rPr>
        <w:t>s Market</w:t>
      </w:r>
      <w:r>
        <w:rPr>
          <w:rtl w:val="0"/>
          <w:lang w:val="en-US"/>
        </w:rPr>
        <w:t xml:space="preserve">. Later proceed to Montreal. </w:t>
      </w:r>
      <w:r>
        <w:rPr>
          <w:rStyle w:val="Strong"/>
          <w:rtl w:val="0"/>
          <w:lang w:val="en-US"/>
        </w:rPr>
        <w:t>(Meals: B)</w:t>
      </w:r>
    </w:p>
    <w:p>
      <w:pPr>
        <w:pStyle w:val="No Spacing"/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Day 05 - Montreal - City Tour</w:t>
      </w:r>
    </w:p>
    <w:p>
      <w:pPr>
        <w:pStyle w:val="No Spacing"/>
        <w:jc w:val="both"/>
        <w:rPr>
          <w:rStyle w:val="Strong"/>
        </w:rPr>
      </w:pPr>
      <w:r>
        <w:rPr>
          <w:rtl w:val="0"/>
          <w:lang w:val="en-US"/>
        </w:rPr>
        <w:t>After breakfast, proceed for an exciting city tour of Montreal. Visit Old Montreal,</w:t>
      </w: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Notre-Dame Basilica, Olympia Park, Mount Royal Park, St. Joseph's Oratory, Montreal Harbor, Chinatown, Place Ville Marie, City Hall, Bell Centre, Downtown Montreal and much more. </w:t>
      </w:r>
      <w:r>
        <w:rPr>
          <w:rStyle w:val="Strong"/>
          <w:rtl w:val="0"/>
          <w:lang w:val="en-US"/>
        </w:rPr>
        <w:t>(Meals: B)</w:t>
      </w:r>
    </w:p>
    <w:p>
      <w:pPr>
        <w:pStyle w:val="No Spacing"/>
        <w:rPr>
          <w:b w:val="1"/>
          <w:bCs w:val="1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Day 06 - Montreal -Quebec City Tour</w:t>
      </w:r>
    </w:p>
    <w:p>
      <w:pPr>
        <w:pStyle w:val="No Spacing"/>
        <w:jc w:val="both"/>
        <w:rPr>
          <w:rStyle w:val="Strong"/>
        </w:rPr>
      </w:pPr>
      <w:r>
        <w:rPr>
          <w:rtl w:val="0"/>
          <w:lang w:val="en-US"/>
        </w:rPr>
        <w:t xml:space="preserve">After breakfast, proceed for a day tour to Quebec City. We will bring you through all the historical treasures of Quebec such as: </w:t>
      </w:r>
      <w:r>
        <w:rPr>
          <w:rStyle w:val="Strong"/>
          <w:rtl w:val="0"/>
          <w:lang w:val="en-US"/>
        </w:rPr>
        <w:t>Place Royale, Plains of Abraham, Parliament Building, Montmorency Falls, Ile D'Orleans, Place D'Armes</w:t>
      </w:r>
      <w:r>
        <w:rPr>
          <w:rtl w:val="0"/>
          <w:lang w:val="en-US"/>
        </w:rPr>
        <w:t xml:space="preserve"> and many more. </w:t>
      </w:r>
      <w:r>
        <w:rPr>
          <w:rStyle w:val="Strong"/>
          <w:rtl w:val="0"/>
          <w:lang w:val="en-US"/>
        </w:rPr>
        <w:t>(Meals: B)</w:t>
      </w:r>
    </w:p>
    <w:p>
      <w:pPr>
        <w:pStyle w:val="No Spacing"/>
        <w:rPr>
          <w:b w:val="1"/>
          <w:bCs w:val="1"/>
        </w:rPr>
      </w:pPr>
    </w:p>
    <w:p>
      <w:pPr>
        <w:pStyle w:val="No Spacing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c00000"/>
          <w:u w:val="single" w:color="c00000"/>
          <w14:textFill>
            <w14:solidFill>
              <w14:srgbClr w14:val="C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c00000"/>
          <w:u w:val="single" w:color="c00000"/>
          <w:rtl w:val="0"/>
          <w:lang w:val="en-US"/>
          <w14:textFill>
            <w14:solidFill>
              <w14:srgbClr w14:val="C00000"/>
            </w14:solidFill>
          </w14:textFill>
        </w:rPr>
        <w:t>Day 07 - Montreal</w:t>
      </w:r>
    </w:p>
    <w:p>
      <w:pPr>
        <w:pStyle w:val="Body"/>
        <w:jc w:val="both"/>
        <w:rPr>
          <w:rStyle w:val="Strong"/>
        </w:rPr>
      </w:pPr>
      <w:r>
        <w:rPr>
          <w:rtl w:val="0"/>
          <w:lang w:val="en-US"/>
        </w:rPr>
        <w:t xml:space="preserve">After breakfast, we will fly back to the home town. </w:t>
      </w:r>
      <w:r>
        <w:rPr>
          <w:rStyle w:val="Strong"/>
          <w:rtl w:val="0"/>
          <w:lang w:val="en-US"/>
        </w:rPr>
        <w:t>(Meals: B)</w:t>
      </w:r>
    </w:p>
    <w:p>
      <w:pPr>
        <w:pStyle w:val="Body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1200150</wp:posOffset>
            </wp:positionH>
            <wp:positionV relativeFrom="line">
              <wp:posOffset>198119</wp:posOffset>
            </wp:positionV>
            <wp:extent cx="5238750" cy="1524000"/>
            <wp:effectExtent l="0" t="0" r="0" b="0"/>
            <wp:wrapSquare wrapText="bothSides" distL="57150" distR="57150" distT="57150" distB="57150"/>
            <wp:docPr id="1073741826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3" descr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2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48"/>
          <w:szCs w:val="4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48"/>
          <w:szCs w:val="4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48"/>
          <w:szCs w:val="48"/>
          <w:u w:val="single" w:color="0070c0"/>
          <w14:textFill>
            <w14:solidFill>
              <w14:srgbClr w14:val="0070C0"/>
            </w14:solidFill>
          </w14:textFill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jc w:val="center"/>
        <w:rPr>
          <w:rStyle w:val="Strong"/>
        </w:rPr>
      </w:pPr>
      <w:r>
        <w:rPr>
          <w:b w:val="1"/>
          <w:bCs w:val="1"/>
          <w:sz w:val="20"/>
          <w:szCs w:val="20"/>
          <w:rtl w:val="0"/>
          <w:lang w:val="en-US"/>
        </w:rPr>
        <w:t>Tour ends with sweet memories.</w:t>
      </w:r>
    </w:p>
    <w:p>
      <w:pPr>
        <w:pStyle w:val="Body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outline w:val="0"/>
          <w:color w:val="0070c0"/>
          <w:sz w:val="48"/>
          <w:szCs w:val="48"/>
          <w:u w:val="single"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70c0"/>
          <w:sz w:val="48"/>
          <w:szCs w:val="48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PACKAGE COST &amp; DETAILS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36"/>
        <w:gridCol w:w="945"/>
        <w:gridCol w:w="1313"/>
        <w:gridCol w:w="963"/>
        <w:gridCol w:w="963"/>
        <w:gridCol w:w="963"/>
        <w:gridCol w:w="847"/>
        <w:gridCol w:w="1234"/>
        <w:gridCol w:w="811"/>
        <w:gridCol w:w="975"/>
        <w:gridCol w:w="966"/>
      </w:tblGrid>
      <w:tr>
        <w:tblPrEx>
          <w:shd w:val="clear" w:color="auto" w:fill="d0ddef"/>
        </w:tblPrEx>
        <w:trPr>
          <w:trHeight w:val="257" w:hRule="atLeast"/>
        </w:trPr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b w:val="1"/>
                <w:bCs w:val="1"/>
                <w:outline w:val="0"/>
                <w:color w:val="2e74b5"/>
                <w:u w:color="2e74b5"/>
                <w:shd w:val="nil" w:color="auto" w:fill="auto"/>
                <w:rtl w:val="0"/>
                <w:lang w:val="en-US"/>
                <w14:textFill>
                  <w14:solidFill>
                    <w14:srgbClr w14:val="2E74B5"/>
                  </w14:solidFill>
                </w14:textFill>
              </w:rPr>
              <w:t>Category</w:t>
            </w:r>
          </w:p>
        </w:tc>
        <w:tc>
          <w:tcPr>
            <w:tcW w:type="dxa" w:w="514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outline w:val="0"/>
                <w:color w:val="c45911"/>
                <w:sz w:val="24"/>
                <w:szCs w:val="24"/>
                <w:u w:color="c45911"/>
                <w:shd w:val="nil" w:color="auto" w:fill="auto"/>
                <w:rtl w:val="0"/>
                <w:lang w:val="en-US"/>
                <w14:textFill>
                  <w14:solidFill>
                    <w14:srgbClr w14:val="C45911"/>
                  </w14:solidFill>
                </w14:textFill>
              </w:rPr>
              <w:t>6-9 PAX (USD) / per person</w:t>
            </w:r>
          </w:p>
        </w:tc>
        <w:tc>
          <w:tcPr>
            <w:tcW w:type="dxa" w:w="483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outline w:val="0"/>
                <w:color w:val="c45911"/>
                <w:sz w:val="24"/>
                <w:szCs w:val="24"/>
                <w:u w:color="c45911"/>
                <w:shd w:val="nil" w:color="auto" w:fill="auto"/>
                <w:rtl w:val="0"/>
                <w:lang w:val="en-US"/>
                <w14:textFill>
                  <w14:solidFill>
                    <w14:srgbClr w14:val="C45911"/>
                  </w14:solidFill>
                </w14:textFill>
              </w:rPr>
              <w:t>10-13 PAX (USD) / per person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Triple/CWB</w:t>
            </w:r>
          </w:p>
        </w:tc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Quad</w:t>
            </w:r>
          </w:p>
        </w:tc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Double</w:t>
            </w:r>
          </w:p>
        </w:tc>
        <w:tc>
          <w:tcPr>
            <w:tcW w:type="dxa" w:w="12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Triple/CWB</w:t>
            </w:r>
          </w:p>
        </w:tc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Single</w:t>
            </w:r>
          </w:p>
        </w:tc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CNB</w:t>
            </w:r>
          </w:p>
        </w:tc>
        <w:tc>
          <w:tcPr>
            <w:tcW w:type="dxa" w:w="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Quad</w:t>
            </w:r>
          </w:p>
        </w:tc>
      </w:tr>
      <w:tr>
        <w:tblPrEx>
          <w:shd w:val="clear" w:color="auto" w:fill="d0ddef"/>
        </w:tblPrEx>
        <w:trPr>
          <w:trHeight w:val="366" w:hRule="atLeast"/>
        </w:trPr>
        <w:tc>
          <w:tcPr>
            <w:tcW w:type="dxa" w:w="10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b w:val="1"/>
                <w:bCs w:val="1"/>
                <w:sz w:val="24"/>
                <w:szCs w:val="24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2529</w:t>
            </w:r>
          </w:p>
        </w:tc>
        <w:tc>
          <w:tcPr>
            <w:tcW w:type="dxa" w:w="13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2469</w:t>
            </w:r>
          </w:p>
        </w:tc>
        <w:tc>
          <w:tcPr>
            <w:tcW w:type="dxa" w:w="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3129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1939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2399</w:t>
            </w:r>
          </w:p>
        </w:tc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clear" w:color="auto" w:fill="ffff00"/>
                <w:rtl w:val="0"/>
                <w:lang w:val="en-US"/>
              </w:rPr>
              <w:t>2089</w:t>
            </w:r>
          </w:p>
        </w:tc>
        <w:tc>
          <w:tcPr>
            <w:tcW w:type="dxa" w:w="12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2029</w:t>
            </w:r>
          </w:p>
        </w:tc>
        <w:tc>
          <w:tcPr>
            <w:tcW w:type="dxa" w:w="8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2689</w:t>
            </w:r>
          </w:p>
        </w:tc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1499</w:t>
            </w:r>
          </w:p>
        </w:tc>
        <w:tc>
          <w:tcPr>
            <w:tcW w:type="dxa" w:w="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1959</w:t>
            </w:r>
          </w:p>
        </w:tc>
      </w:tr>
    </w:tbl>
    <w:p>
      <w:pPr>
        <w:pStyle w:val="Body"/>
        <w:spacing w:line="240" w:lineRule="auto"/>
        <w:jc w:val="both"/>
        <w:rPr>
          <w:b w:val="1"/>
          <w:bCs w:val="1"/>
          <w:u w:val="single"/>
        </w:rPr>
      </w:pPr>
    </w:p>
    <w:tbl>
      <w:tblPr>
        <w:tblW w:w="1079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395"/>
        <w:gridCol w:w="5395"/>
      </w:tblGrid>
      <w:tr>
        <w:tblPrEx>
          <w:shd w:val="clear" w:color="auto" w:fill="d0ddef"/>
        </w:tblPrEx>
        <w:trPr>
          <w:trHeight w:val="3313" w:hRule="atLeast"/>
        </w:trPr>
        <w:tc>
          <w:tcPr>
            <w:tcW w:type="dxa" w:w="5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b w:val="1"/>
                <w:bCs w:val="1"/>
                <w:i w:val="1"/>
                <w:iCs w:val="1"/>
                <w:outline w:val="0"/>
                <w:color w:val="c45911"/>
                <w:u w:val="single" w:color="c45911"/>
                <w:shd w:val="nil" w:color="auto" w:fill="auto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c45911"/>
                <w:u w:val="single" w:color="c45911"/>
                <w:shd w:val="nil" w:color="auto" w:fill="auto"/>
                <w:rtl w:val="0"/>
                <w:lang w:val="en-US"/>
                <w14:textFill>
                  <w14:solidFill>
                    <w14:srgbClr w14:val="C45911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Deluxe 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Breakfast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Guided City Tour</w:t>
            </w:r>
            <w:r>
              <w:rPr>
                <w:shd w:val="nil" w:color="auto" w:fill="auto"/>
                <w:rtl w:val="0"/>
                <w:lang w:val="en-US"/>
              </w:rPr>
              <w:t xml:space="preserve">: Toronto, Montreal, Quebec City, Ottawa 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Surface Transfers</w:t>
            </w:r>
            <w:r>
              <w:rPr>
                <w:shd w:val="nil" w:color="auto" w:fill="auto"/>
                <w:rtl w:val="0"/>
                <w:lang w:val="en-US"/>
              </w:rPr>
              <w:t>: TOR &gt;NIA &gt;OTT&gt;MON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Entrance Tickets</w:t>
            </w:r>
            <w:r>
              <w:rPr>
                <w:shd w:val="nil" w:color="auto" w:fill="auto"/>
                <w:rtl w:val="0"/>
                <w:lang w:val="en-US"/>
              </w:rPr>
              <w:t xml:space="preserve"> : Maid of the Mist, Journey behind the falls,  CN Tower, 1000 Islands Cruise, Olympic Park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 Taxes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after="0" w:line="240" w:lineRule="exact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All transfers &amp; sight seen on PVT (Sprinter Van)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5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after="0" w:line="276" w:lineRule="auto"/>
              <w:jc w:val="both"/>
              <w:rPr>
                <w:outline w:val="0"/>
                <w:color w:val="c45911"/>
                <w:u w:color="c45911"/>
                <w:shd w:val="nil" w:color="auto" w:fill="auto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b w:val="1"/>
                <w:bCs w:val="1"/>
                <w:i w:val="1"/>
                <w:iCs w:val="1"/>
                <w:outline w:val="0"/>
                <w:color w:val="c45911"/>
                <w:u w:val="single" w:color="c45911"/>
                <w:shd w:val="nil" w:color="auto" w:fill="auto"/>
                <w:rtl w:val="0"/>
                <w:lang w:val="en-US"/>
                <w14:textFill>
                  <w14:solidFill>
                    <w14:srgbClr w14:val="C45911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International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both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b w:val="1"/>
          <w:bCs w:val="1"/>
          <w:u w:val="single"/>
        </w:rPr>
      </w:pPr>
    </w:p>
    <w:p>
      <w:pPr>
        <w:pStyle w:val="Body"/>
        <w:spacing w:after="0"/>
        <w:jc w:val="both"/>
        <w:rPr>
          <w:b w:val="1"/>
          <w:bCs w:val="1"/>
          <w:u w:val="single"/>
        </w:rPr>
      </w:pPr>
    </w:p>
    <w:p>
      <w:pPr>
        <w:pStyle w:val="Body"/>
        <w:spacing w:after="0"/>
        <w:jc w:val="both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 xml:space="preserve">HOTELS: 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00"/>
        <w:gridCol w:w="659"/>
        <w:gridCol w:w="9657"/>
      </w:tblGrid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9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clear" w:color="auto" w:fill="00ffff"/>
                <w:rtl w:val="0"/>
                <w:lang w:val="en-US"/>
              </w:rPr>
              <w:t>Deluxe Hotels OR SIMILAR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TOR</w:t>
            </w:r>
          </w:p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9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Hotel Four Point Sheraton Mississauga / Edward Hotel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OTT</w:t>
            </w:r>
          </w:p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01</w:t>
            </w:r>
          </w:p>
        </w:tc>
        <w:tc>
          <w:tcPr>
            <w:tcW w:type="dxa" w:w="9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Hotel Four Point Sheraton / Courtyard Marriott / Holiday Inn</w:t>
            </w:r>
          </w:p>
        </w:tc>
      </w:tr>
      <w:tr>
        <w:tblPrEx>
          <w:shd w:val="clear" w:color="auto" w:fill="d0ddef"/>
        </w:tblPrEx>
        <w:trPr>
          <w:trHeight w:val="226" w:hRule="atLeast"/>
        </w:trPr>
        <w:tc>
          <w:tcPr>
            <w:tcW w:type="dxa" w:w="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MON</w:t>
            </w:r>
          </w:p>
        </w:tc>
        <w:tc>
          <w:tcPr>
            <w:tcW w:type="dxa" w:w="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03</w:t>
            </w:r>
          </w:p>
        </w:tc>
        <w:tc>
          <w:tcPr>
            <w:tcW w:type="dxa" w:w="96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Hotel Fairfield by Marriott / Courtyard Marriott / Doubletree </w:t>
            </w:r>
          </w:p>
        </w:tc>
      </w:tr>
    </w:tbl>
    <w:p>
      <w:pPr>
        <w:pStyle w:val="Body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spacing w:after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BASIC INFORMATION: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64"/>
        <w:gridCol w:w="2393"/>
        <w:gridCol w:w="4259"/>
      </w:tblGrid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Transfer</w:t>
            </w:r>
          </w:p>
        </w:tc>
        <w:tc>
          <w:tcPr>
            <w:tcW w:type="dxa" w:w="4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  <w:jc w:val="center"/>
            </w:pPr>
            <w:r>
              <w:rPr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d0ddef"/>
        </w:tblPrEx>
        <w:trPr>
          <w:trHeight w:val="513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>Check in time: 4pm / Check out time: 11am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>All on PVT basis (Sprinter Van)</w:t>
            </w:r>
          </w:p>
        </w:tc>
        <w:tc>
          <w:tcPr>
            <w:tcW w:type="dxa" w:w="4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>Lunch: On Own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76" w:lineRule="auto"/>
            </w:pPr>
            <w:r>
              <w:rPr>
                <w:shd w:val="nil" w:color="auto" w:fill="auto"/>
                <w:rtl w:val="0"/>
                <w:lang w:val="en-US"/>
              </w:rPr>
              <w:t>Dinner: On Own</w:t>
            </w:r>
          </w:p>
        </w:tc>
      </w:tr>
    </w:tbl>
    <w:p>
      <w:pPr>
        <w:pStyle w:val="Body"/>
        <w:widowControl w:val="0"/>
        <w:spacing w:after="0" w:line="240" w:lineRule="auto"/>
        <w:rPr>
          <w:b w:val="1"/>
          <w:bCs w:val="1"/>
          <w:u w:val="single"/>
        </w:rPr>
      </w:pPr>
    </w:p>
    <w:p>
      <w:pPr>
        <w:pStyle w:val="Body"/>
        <w:tabs>
          <w:tab w:val="left" w:pos="3240"/>
        </w:tabs>
        <w:jc w:val="both"/>
        <w:rPr>
          <w:b w:val="1"/>
          <w:bCs w:val="1"/>
          <w:sz w:val="16"/>
          <w:szCs w:val="16"/>
          <w:u w:val="single"/>
        </w:rPr>
      </w:pPr>
      <w:r>
        <w:rPr>
          <w:b w:val="1"/>
          <w:bCs w:val="1"/>
          <w:sz w:val="16"/>
          <w:szCs w:val="16"/>
          <w:u w:val="single"/>
          <w:rtl w:val="0"/>
          <w:lang w:val="de-DE"/>
        </w:rPr>
        <w:t>GENERAL TERMS &amp; CONDITIONS: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Calibri" w:hAnsi="Calibri"/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rFonts w:ascii="Calibri" w:hAnsi="Calibri"/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Tours will be conducted in a Van with driver cum guide depending on the number of passengers confirmed.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7f7f7f"/>
          <w:sz w:val="16"/>
          <w:szCs w:val="16"/>
          <w:u w:color="7f7f7f"/>
          <w:rtl w:val="0"/>
          <w14:textFill>
            <w14:solidFill>
              <w14:srgbClr w14:val="7F7F7F"/>
            </w14:solidFill>
          </w14:textFill>
        </w:rPr>
        <w:sym w:font="Wingdings" w:char="F0E0"/>
      </w: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We reserve the right to use alternative accommodation, sightseeing tours and transfer of equal or higher standards.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The Incidental charges are not included:  for instance: Porterage, tips, laundry, telephone calls, alcohol/non-alcoholic beverages.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Early check-In is not guaranteed. Every effort will be made for passengers coming in early but this is at the hotel</w:t>
      </w:r>
      <w:r>
        <w:rPr>
          <w:outline w:val="0"/>
          <w:color w:val="7f7f7f"/>
          <w:sz w:val="16"/>
          <w:szCs w:val="16"/>
          <w:u w:color="7f7f7f"/>
          <w:rtl w:val="1"/>
          <w14:textFill>
            <w14:solidFill>
              <w14:srgbClr w14:val="7F7F7F"/>
            </w14:solidFill>
          </w14:textFill>
        </w:rPr>
        <w:t>’</w:t>
      </w: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s discretion &amp; availability.</w:t>
      </w:r>
    </w:p>
    <w:p>
      <w:pPr>
        <w:pStyle w:val="Body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Passengers requiring Wheelchair assistance will have to make their own arrangements.</w:t>
      </w:r>
    </w:p>
    <w:p>
      <w:pPr>
        <w:pStyle w:val="Body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 xml:space="preserve">Please note that some hotels require guests to give their Credit card/cash towards incidentals. No charges are levied unless guests use services not included in the package. </w:t>
      </w:r>
    </w:p>
    <w:p>
      <w:pPr>
        <w:pStyle w:val="Body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Please note for dinners in Niagara Falls, Orlando &amp; Las Vegas, and the restaurant will be walking distance from the Hotel and no transfers will be provided for the same.</w:t>
      </w:r>
    </w:p>
    <w:p>
      <w:pPr>
        <w:pStyle w:val="Body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outline w:val="0"/>
          <w:color w:val="7f7f7f"/>
          <w:sz w:val="16"/>
          <w:szCs w:val="16"/>
          <w:rtl w:val="0"/>
          <w:lang w:val="en-US"/>
          <w14:textFill>
            <w14:solidFill>
              <w14:srgbClr w14:val="7F7F7F"/>
            </w14:solidFill>
          </w14:textFill>
        </w:rPr>
      </w:pPr>
      <w:r>
        <w:rPr>
          <w:outline w:val="0"/>
          <w:color w:val="7f7f7f"/>
          <w:sz w:val="16"/>
          <w:szCs w:val="16"/>
          <w:u w:color="7f7f7f"/>
          <w:rtl w:val="0"/>
          <w:lang w:val="en-US"/>
          <w14:textFill>
            <w14:solidFill>
              <w14:srgbClr w14:val="7F7F7F"/>
            </w14:solidFill>
          </w14:textFill>
        </w:rPr>
        <w:t>Final working itinerary and vouchers will be sent by email 07 days prior to departure date.</w:t>
      </w:r>
    </w:p>
    <w:sectPr>
      <w:headerReference w:type="default" r:id="rId6"/>
      <w:footerReference w:type="default" r:id="rId7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➢"/>
      <w:lvlJc w:val="left"/>
      <w:pPr>
        <w:tabs>
          <w:tab w:val="left" w:pos="3240"/>
        </w:tabs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324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324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324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324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324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324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324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➢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➢"/>
        <w:lvlJc w:val="left"/>
        <w:pPr>
          <w:ind w:left="10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➢"/>
        <w:lvlJc w:val="left"/>
        <w:pPr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➢"/>
        <w:lvlJc w:val="left"/>
        <w:pPr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➢"/>
        <w:lvlJc w:val="left"/>
        <w:pPr>
          <w:ind w:left="32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➢"/>
        <w:lvlJc w:val="left"/>
        <w:pPr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➢"/>
        <w:lvlJc w:val="left"/>
        <w:pPr>
          <w:ind w:left="4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➢"/>
        <w:lvlJc w:val="left"/>
        <w:pPr>
          <w:ind w:left="54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➢"/>
        <w:lvlJc w:val="left"/>
        <w:pPr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Strong">
    <w:name w:val="Strong"/>
    <w:rPr>
      <w:rFonts w:ascii="Calibri" w:hAnsi="Calibri"/>
      <w:b w:val="1"/>
      <w:bCs w:val="1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