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7 DAYS </w:t>
      </w:r>
      <w:r>
        <w:rPr>
          <w:rFonts w:ascii="Times New Roman" w:hAnsi="Times New Roman" w:hint="default"/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–</w:t>
      </w:r>
      <w:r>
        <w:rPr>
          <w:rFonts w:ascii="Times New Roman" w:hAnsi="Times New Roman"/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de-DE"/>
          <w14:textFill>
            <w14:solidFill>
              <w14:srgbClr w14:val="365F91"/>
            </w14:solidFill>
          </w14:textFill>
        </w:rPr>
        <w:t>WESTERN EXPLORER (Van Tour)</w:t>
      </w: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523875</wp:posOffset>
            </wp:positionH>
            <wp:positionV relativeFrom="line">
              <wp:posOffset>11430</wp:posOffset>
            </wp:positionV>
            <wp:extent cx="5715000" cy="2788920"/>
            <wp:effectExtent l="0" t="0" r="0" b="0"/>
            <wp:wrapSquare wrapText="bothSides" distL="57150" distR="57150" distT="57150" distB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240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88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01- Las Vegas City Tour + Stratosphere Tower</w:t>
      </w:r>
    </w:p>
    <w:p>
      <w:pPr>
        <w:pStyle w:val="Body"/>
        <w:tabs>
          <w:tab w:val="left" w:pos="36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Welcome to Las Vegas. Upon arrival, proceed to the hotel for check-in. Later, we proceed for the city tour in Las Vegas, experiencing the spectacular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Colorful Dancing Fountain water fountains of the Bellagio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the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Pirate Ships at Treasure Island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Downtown Vegas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and of course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Fremont street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where over 12 million lights create a free show with pumping music. Later, proceed to visit the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Stratosphere Tower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View the city in 360-degree panorama at Las Vegas' Stratosphere Tower, the tallest freestanding observation tower in the United States at 1,149 feet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hd w:val="clear" w:color="auto" w:fill="ffffff"/>
        <w:jc w:val="both"/>
        <w:rPr>
          <w:rFonts w:ascii="Tahoma" w:cs="Tahoma" w:hAnsi="Tahoma" w:eastAsia="Tahoma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Day 02 - Grand Canyon West Rim Bus Tour with Skywalk </w:t>
      </w:r>
    </w:p>
    <w:p>
      <w:pPr>
        <w:pStyle w:val="Body"/>
        <w:shd w:val="clear" w:color="auto" w:fill="ffffff"/>
        <w:jc w:val="both"/>
        <w:rPr>
          <w:rFonts w:ascii="Tahoma" w:cs="Tahoma" w:hAnsi="Tahoma" w:eastAsia="Tahoma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Spend the day at the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Grand Canyon with our bus tour,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including a Hoover Dam Photo stop along the way and the New Wonder of the West,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SKYWALK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</w:r>
    </w:p>
    <w:p>
      <w:pPr>
        <w:pStyle w:val="Body"/>
        <w:widowControl w:val="0"/>
        <w:jc w:val="both"/>
        <w:outlineLvl w:val="0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widowControl w:val="0"/>
        <w:jc w:val="both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Day 03-Las Vegas - Los Angeles - City Tour 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>Today, we depart to Los Angeles by road (approx. 4.5 hours).</w:t>
      </w:r>
      <w:r>
        <w:rPr>
          <w:rFonts w:ascii="Calibri" w:hAnsi="Calibri"/>
          <w:b w:val="1"/>
          <w:bCs w:val="1"/>
          <w:rtl w:val="0"/>
          <w:lang w:val="en-US"/>
        </w:rPr>
        <w:t xml:space="preserve">On arrival, proceed for a guided city tour - </w:t>
      </w:r>
      <w:r>
        <w:rPr>
          <w:rFonts w:ascii="Calibri" w:hAnsi="Calibri"/>
          <w:rtl w:val="0"/>
          <w:lang w:val="en-US"/>
        </w:rPr>
        <w:t xml:space="preserve">we will drive you through the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b w:val="1"/>
          <w:bCs w:val="1"/>
          <w:rtl w:val="0"/>
          <w:lang w:val="en-US"/>
        </w:rPr>
        <w:t>Entertainment capital of the world,</w:t>
      </w:r>
      <w:r>
        <w:rPr>
          <w:rFonts w:ascii="Calibri" w:hAnsi="Calibri" w:hint="default"/>
          <w:b w:val="1"/>
          <w:bCs w:val="1"/>
          <w:rtl w:val="0"/>
        </w:rPr>
        <w:t xml:space="preserve">” </w:t>
      </w:r>
      <w:r>
        <w:rPr>
          <w:rFonts w:ascii="Calibri" w:hAnsi="Calibri"/>
          <w:b w:val="1"/>
          <w:bCs w:val="1"/>
          <w:rtl w:val="0"/>
          <w:lang w:val="en-US"/>
        </w:rPr>
        <w:t xml:space="preserve">Hollywood, Hollywood Walk of Fame, Beverly Hills, Grumman Chinese Theater, Sunset strip, Rodeo Drive </w:t>
      </w:r>
      <w:r>
        <w:rPr>
          <w:rFonts w:ascii="Calibri" w:hAnsi="Calibri"/>
          <w:rtl w:val="0"/>
          <w:lang w:val="en-US"/>
        </w:rPr>
        <w:t>for the world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most expensive shopping, and </w:t>
      </w:r>
      <w:r>
        <w:rPr>
          <w:rFonts w:ascii="Calibri" w:hAnsi="Calibri"/>
          <w:b w:val="1"/>
          <w:bCs w:val="1"/>
          <w:rtl w:val="0"/>
        </w:rPr>
        <w:t>Chinatown</w:t>
      </w:r>
      <w:r>
        <w:rPr>
          <w:rFonts w:ascii="Calibri" w:hAnsi="Calibri"/>
          <w:rtl w:val="0"/>
          <w:lang w:val="en-US"/>
        </w:rPr>
        <w:t xml:space="preserve"> for some good bargains. </w:t>
      </w:r>
    </w:p>
    <w:p>
      <w:pPr>
        <w:pStyle w:val="Body"/>
        <w:jc w:val="both"/>
        <w:outlineLvl w:val="0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jc w:val="both"/>
        <w:outlineLvl w:val="0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outline w:val="0"/>
          <w:color w:val="ff0000"/>
          <w:u w:val="single" w:color="ff0000"/>
          <w:rtl w:val="0"/>
          <w:lang w:val="es-ES_tradnl"/>
          <w14:textFill>
            <w14:solidFill>
              <w14:srgbClr w14:val="FF0000"/>
            </w14:solidFill>
          </w14:textFill>
        </w:rPr>
        <w:t>Day 04 - Los Angeles - Universal Studios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Join us today for a tour of Universal Studios, which has always been known for its innovative rides and attractions and is designed to let visitors experience the movies like never before. A trip to </w:t>
      </w:r>
      <w:r>
        <w:rPr>
          <w:rFonts w:ascii="Calibri" w:hAnsi="Calibri"/>
          <w:b w:val="1"/>
          <w:bCs w:val="1"/>
          <w:rtl w:val="0"/>
          <w:lang w:val="it-IT"/>
        </w:rPr>
        <w:t>Universal</w:t>
      </w:r>
      <w:r>
        <w:rPr>
          <w:rFonts w:ascii="Calibri" w:hAnsi="Calibri"/>
          <w:rtl w:val="0"/>
          <w:lang w:val="en-US"/>
        </w:rPr>
        <w:t xml:space="preserve"> is like a trip into the heart of Hollywood. With films and TV shows always in production, one never knows who they might see wandering the sidewalks of the park.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jc w:val="both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jc w:val="both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val="single"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Day 05- Los Angeles - San Francisco 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After breakfast, we depart for San Francisco by road (approx. 8 hours), which is one of the few North American cities to achieve the legendary status of such places as Paris or London. The city's well-known hills offer stunning views of the Pacific Ocean and San Francisco Bay. In addition to its diversity and charm, San Francisco is a gateway to Silicon Valley, America's premier high technology center. Upon arrival, check in to the hotel.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jc w:val="both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06- San Francisco City tour + Bay Cruise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>Today, we proceed on a sightseeing tour of San Francisco. You will visit the famous Golden Gate Bridge, with the world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highest bridge towers. Continue on to Twin Peaks, Lombard Street, Cable Car, Pier 39, Nob Hill, Civic Center, Union Square and Fisherman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Wharf, Palace of Fine Arts, Bay Cruise &amp; other highlights.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3240"/>
        </w:tabs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07-Departure from San Francisco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After breakfast, spend some time at leisure. Take some time out for additional shopping, or, proceed to the airport to board the flight for your next destination.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"/>
        <w:tabs>
          <w:tab w:val="left" w:pos="3240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</w:rPr>
        <w:drawing xmlns:a="http://schemas.openxmlformats.org/drawingml/2006/main">
          <wp:inline distT="0" distB="0" distL="0" distR="0">
            <wp:extent cx="6501130" cy="1352551"/>
            <wp:effectExtent l="0" t="0" r="0" b="0"/>
            <wp:docPr id="1073741826" name="officeArt object" descr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8" descr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5200" b="22714"/>
                    <a:stretch>
                      <a:fillRect/>
                    </a:stretch>
                  </pic:blipFill>
                  <pic:spPr>
                    <a:xfrm>
                      <a:off x="0" y="0"/>
                      <a:ext cx="6501130" cy="13525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tabs>
          <w:tab w:val="left" w:pos="3240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Tour ends with sweet memories.</w:t>
      </w:r>
    </w:p>
    <w:p>
      <w:pPr>
        <w:pStyle w:val="Body"/>
        <w:tabs>
          <w:tab w:val="left" w:pos="3240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44"/>
          <w:szCs w:val="44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70c0"/>
          <w:sz w:val="44"/>
          <w:szCs w:val="44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>PACKAGE COST &amp; DETAILS</w:t>
      </w: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u w:val="single" w:color="0070c0"/>
          <w14:textFill>
            <w14:solidFill>
              <w14:srgbClr w14:val="0070C0"/>
            </w14:solidFill>
          </w14:textFill>
        </w:rPr>
      </w:pPr>
    </w:p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5"/>
        <w:gridCol w:w="920"/>
        <w:gridCol w:w="1230"/>
        <w:gridCol w:w="953"/>
        <w:gridCol w:w="954"/>
        <w:gridCol w:w="960"/>
        <w:gridCol w:w="831"/>
        <w:gridCol w:w="1209"/>
        <w:gridCol w:w="862"/>
        <w:gridCol w:w="1009"/>
        <w:gridCol w:w="1077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sz w:val="16"/>
                <w:szCs w:val="16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501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e36c0a"/>
                <w:u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6-9 PAX (USD) / per person</w:t>
            </w:r>
          </w:p>
        </w:tc>
        <w:tc>
          <w:tcPr>
            <w:tcW w:type="dxa" w:w="498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e36c0a"/>
                <w:u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10-13 PAX (USD) / per person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Double 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Triple/CWB</w:t>
            </w:r>
          </w:p>
        </w:tc>
        <w:tc>
          <w:tcPr>
            <w:tcW w:type="dxa" w:w="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CNB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Quad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Double </w:t>
            </w:r>
          </w:p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Triple/CWB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CNB</w:t>
            </w:r>
          </w:p>
        </w:tc>
        <w:tc>
          <w:tcPr>
            <w:tcW w:type="dxa" w:w="1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clear" w:color="auto" w:fill="ffff00"/>
                <w:rtl w:val="0"/>
                <w:lang w:val="en-US"/>
              </w:rPr>
              <w:t>2529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2469</w:t>
            </w:r>
          </w:p>
        </w:tc>
        <w:tc>
          <w:tcPr>
            <w:tcW w:type="dxa" w:w="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3029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2039</w:t>
            </w:r>
          </w:p>
        </w:tc>
        <w:tc>
          <w:tcPr>
            <w:tcW w:type="dxa" w:w="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2399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clear" w:color="auto" w:fill="ffff00"/>
                <w:rtl w:val="0"/>
                <w:lang w:val="en-US"/>
              </w:rPr>
              <w:t>2089</w:t>
            </w:r>
          </w:p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2029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0"/>
                <w:iCs w:val="0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2589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0"/>
                <w:iCs w:val="0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1599</w:t>
            </w:r>
          </w:p>
        </w:tc>
        <w:tc>
          <w:tcPr>
            <w:tcW w:type="dxa" w:w="1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en-US"/>
              </w:rPr>
              <w:t>1959</w:t>
            </w:r>
          </w:p>
        </w:tc>
      </w:tr>
    </w:tbl>
    <w:p>
      <w:pPr>
        <w:pStyle w:val="Body"/>
        <w:widowControl w:val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e36c0a"/>
          <w:sz w:val="20"/>
          <w:szCs w:val="20"/>
          <w:u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e36c0a"/>
          <w:sz w:val="20"/>
          <w:szCs w:val="20"/>
          <w:u w:color="e36c0a"/>
          <w14:textFill>
            <w14:solidFill>
              <w14:srgbClr w14:val="E36C0A"/>
            </w14:solidFill>
          </w14:textFill>
        </w:rPr>
      </w:pPr>
    </w:p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69"/>
        <w:gridCol w:w="5431"/>
      </w:tblGrid>
      <w:tr>
        <w:tblPrEx>
          <w:shd w:val="clear" w:color="auto" w:fill="ced7e7"/>
        </w:tblPrEx>
        <w:trPr>
          <w:trHeight w:val="3257" w:hRule="atLeast"/>
        </w:trPr>
        <w:tc>
          <w:tcPr>
            <w:tcW w:type="dxa" w:w="536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(Except LAS)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 Transfers as mentioned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San Francisco, Las Vegas, Los Angeles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Surface Transfer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LAS&gt;LAX&gt; SFO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Entrance Tickets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Stratosphere Tower, Universal Studio, Bay cruise, Grand Canyon Bus tour with skywalk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transfers &amp; sight seen on PVT (Sprinter Van)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  <w:tc>
          <w:tcPr>
            <w:tcW w:type="dxa" w:w="5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Supplement cost applicable for Weekend in LAS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and Resort Fees in LAS.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that is not mentioned in the inclusions part.</w:t>
            </w:r>
          </w:p>
        </w:tc>
      </w:tr>
      <w:tr>
        <w:tblPrEx>
          <w:shd w:val="clear" w:color="auto" w:fill="ced7e7"/>
        </w:tblPrEx>
        <w:trPr>
          <w:trHeight w:val="857" w:hRule="atLeast"/>
        </w:trPr>
        <w:tc>
          <w:tcPr>
            <w:tcW w:type="dxa" w:w="53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Dinner= USD 35.00 per person</w:t>
            </w:r>
          </w:p>
        </w:tc>
      </w:tr>
    </w:tbl>
    <w:p>
      <w:pPr>
        <w:pStyle w:val="Body"/>
        <w:widowControl w:val="0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e36c0a"/>
          <w:sz w:val="20"/>
          <w:szCs w:val="20"/>
          <w:u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0"/>
          <w:szCs w:val="20"/>
          <w:u w:val="single"/>
        </w:rPr>
      </w:pPr>
      <w:r>
        <w:rPr>
          <w:rFonts w:ascii="Calibri" w:hAnsi="Calibri"/>
          <w:b w:val="1"/>
          <w:bCs w:val="1"/>
          <w:sz w:val="20"/>
          <w:szCs w:val="20"/>
          <w:u w:val="single"/>
          <w:rtl w:val="0"/>
          <w:lang w:val="de-DE"/>
        </w:rPr>
        <w:t xml:space="preserve">HOTELS: 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5"/>
        <w:gridCol w:w="1207"/>
        <w:gridCol w:w="8524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8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clear" w:color="auto" w:fill="00ffff"/>
                <w:rtl w:val="0"/>
                <w:lang w:val="en-US"/>
              </w:rPr>
              <w:t>Deluxe Hotels OR SIMILAR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LAS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8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Excalibur / Luxor / Strats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LAX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8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Doubletree / Four Point Sheraton LAX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SFO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8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Crown Plaza SFO / Hyatt Place Silicon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0"/>
          <w:szCs w:val="20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0"/>
          <w:szCs w:val="20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0"/>
          <w:szCs w:val="20"/>
          <w:u w:val="single"/>
        </w:rPr>
      </w:pPr>
      <w:r>
        <w:rPr>
          <w:rFonts w:ascii="Calibri" w:hAnsi="Calibri"/>
          <w:b w:val="1"/>
          <w:bCs w:val="1"/>
          <w:sz w:val="20"/>
          <w:szCs w:val="20"/>
          <w:u w:val="single"/>
          <w:rtl w:val="0"/>
          <w:lang w:val="en-US"/>
        </w:rPr>
        <w:t>BASIC INFORMATION:</w:t>
      </w:r>
    </w:p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3"/>
        <w:gridCol w:w="2279"/>
        <w:gridCol w:w="4208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Transfer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4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Check in time: 4pm / Check out time: 11am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All on PVT basis (Sprinter Van)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Lunch: On Own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4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Incidental Charges and Resort fee. Must be paid by clients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Dinner: On Own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0"/>
          <w:szCs w:val="20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"/>
          <w:szCs w:val="2"/>
          <w:u w:val="single"/>
        </w:rPr>
      </w:pP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  <w:sz w:val="14"/>
          <w:szCs w:val="14"/>
          <w:u w:val="single"/>
        </w:rPr>
      </w:pPr>
      <w:r>
        <w:rPr>
          <w:rFonts w:ascii="Calibri" w:hAnsi="Calibri"/>
          <w:b w:val="1"/>
          <w:bCs w:val="1"/>
          <w:sz w:val="14"/>
          <w:szCs w:val="14"/>
          <w:u w:val="single"/>
          <w:rtl w:val="0"/>
          <w:lang w:val="de-DE"/>
        </w:rPr>
        <w:t>GENERAL TERMS &amp; CONDITIONS:</w:t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Tours will be conducted in a Van with driver cum guide depending on the number of passengers confirmed.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7f7f7f"/>
          <w:sz w:val="14"/>
          <w:szCs w:val="14"/>
          <w:u w:color="7f7f7f"/>
          <w:rtl w:val="0"/>
          <w14:textFill>
            <w14:solidFill>
              <w14:srgbClr w14:val="7F7F7F"/>
            </w14:solidFill>
          </w14:textFill>
        </w:rPr>
        <w:sym w:font="Wingdings" w:char="F0E0"/>
      </w: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We reserve the right to use alternative accommodation, sightseeing tours and transfer of equal or higher standards.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The Incidental charges are not included:  for instance: Porterage, tips, laundry, telephone calls, alcohol/non-alcoholic beverages.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Early check-In is not guaranteed. Every effort will be made for passengers coming in early but this is at the hotel</w:t>
      </w:r>
      <w:r>
        <w:rPr>
          <w:rFonts w:ascii="Calibri" w:hAnsi="Calibri" w:hint="default"/>
          <w:outline w:val="0"/>
          <w:color w:val="7f7f7f"/>
          <w:sz w:val="14"/>
          <w:szCs w:val="14"/>
          <w:u w:color="7f7f7f"/>
          <w:rtl w:val="1"/>
          <w14:textFill>
            <w14:solidFill>
              <w14:srgbClr w14:val="7F7F7F"/>
            </w14:solidFill>
          </w14:textFill>
        </w:rPr>
        <w:t>’</w:t>
      </w: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s discretion &amp; availability.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Passengers requiring Wheelchair assistance will have to make their own arrangements.</w:t>
      </w:r>
    </w:p>
    <w:p>
      <w:pPr>
        <w:pStyle w:val="Body"/>
        <w:numPr>
          <w:ilvl w:val="0"/>
          <w:numId w:val="5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 xml:space="preserve">Please note that some hotels require guests to give their Credit card/cash towards incidentals. No charges are levied unless guests use services not included in the package. </w:t>
      </w:r>
    </w:p>
    <w:p>
      <w:pPr>
        <w:pStyle w:val="Body"/>
        <w:numPr>
          <w:ilvl w:val="0"/>
          <w:numId w:val="5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Please note for dinners in Niagara Falls, Orlando &amp;Las Vegas, and the restaurant will be walking distance from the Hotel and no transfers will be provided for the same.</w:t>
      </w:r>
    </w:p>
    <w:p>
      <w:pPr>
        <w:pStyle w:val="Body"/>
        <w:numPr>
          <w:ilvl w:val="0"/>
          <w:numId w:val="5"/>
        </w:numPr>
        <w:bidi w:val="0"/>
        <w:ind w:right="0"/>
        <w:jc w:val="both"/>
        <w:rPr>
          <w:rFonts w:ascii="Calibri" w:hAnsi="Calibri"/>
          <w:outline w:val="0"/>
          <w:color w:val="7f7f7f"/>
          <w:sz w:val="14"/>
          <w:szCs w:val="14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4"/>
          <w:szCs w:val="14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Final working itinerary and vouchers will be sent by email 07 days prior to departure date.</w:t>
      </w:r>
    </w:p>
    <w:p>
      <w:pPr>
        <w:pStyle w:val="Body"/>
        <w:tabs>
          <w:tab w:val="left" w:pos="3240"/>
        </w:tabs>
        <w:jc w:val="both"/>
      </w:pPr>
      <w:r>
        <w:rPr>
          <w:rFonts w:ascii="Calibri" w:cs="Calibri" w:hAnsi="Calibri" w:eastAsia="Calibri"/>
          <w:outline w:val="0"/>
          <w:color w:val="7f7f7f"/>
          <w:sz w:val="14"/>
          <w:szCs w:val="14"/>
          <w:u w:color="7f7f7f"/>
          <w14:textFill>
            <w14:solidFill>
              <w14:srgbClr w14:val="7F7F7F"/>
            </w14:solidFill>
          </w14:textFill>
        </w:rPr>
      </w:r>
    </w:p>
    <w:sectPr>
      <w:headerReference w:type="default" r:id="rId6"/>
      <w:footerReference w:type="default" r:id="rId7"/>
      <w:pgSz w:w="12240" w:h="15840" w:orient="portrait"/>
      <w:pgMar w:top="45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➢"/>
      <w:lvlJc w:val="left"/>
      <w:pPr>
        <w:tabs>
          <w:tab w:val="left" w:pos="3240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324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324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324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324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324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324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324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➢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➢"/>
        <w:lvlJc w:val="left"/>
        <w:pPr>
          <w:ind w:left="10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➢"/>
        <w:lvlJc w:val="left"/>
        <w:pPr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➢"/>
        <w:lvlJc w:val="left"/>
        <w:pPr>
          <w:ind w:left="2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➢"/>
        <w:lvlJc w:val="left"/>
        <w:pPr>
          <w:ind w:left="32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➢"/>
        <w:lvlJc w:val="left"/>
        <w:pPr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➢"/>
        <w:lvlJc w:val="left"/>
        <w:pPr>
          <w:ind w:left="4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➢"/>
        <w:lvlJc w:val="left"/>
        <w:pPr>
          <w:ind w:left="54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➢"/>
        <w:lvlJc w:val="left"/>
        <w:pPr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